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F7" w:rsidRDefault="00D8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Отчет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об итогах голосования на общем собрании акционеров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АО «ГК «ОКА»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составлен «25» декабря 2020</w:t>
      </w:r>
      <w:r w:rsidRPr="00C87047">
        <w:rPr>
          <w:rFonts w:ascii="Times New Roman" w:hAnsi="Times New Roman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г.</w:t>
      </w:r>
    </w:p>
    <w:p w:rsidR="00757AF7" w:rsidRDefault="00757AF7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757AF7" w:rsidRDefault="00757AF7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Полное фирменное наименование общества: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АКЦИОНЕРНОЕ ОБЩЕСТВО «ГОСТИНИЧНЫЙ КОМПЛЕКС «ОКА»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(далее именуемое Общество).</w:t>
      </w:r>
    </w:p>
    <w:p w:rsidR="00757AF7" w:rsidRPr="00C87047" w:rsidRDefault="00757AF7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Место нахождения Общества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Г. НИЖНИЙ НОВГОРОД, ПР-Т ГАГАРИНА, Д. 27</w:t>
      </w:r>
      <w:r w:rsidRPr="00C87047">
        <w:rPr>
          <w:rFonts w:ascii="Times New Roman" w:hAnsi="Times New Roman"/>
          <w:b/>
          <w:bCs/>
          <w:sz w:val="24"/>
          <w:szCs w:val="24"/>
        </w:rPr>
        <w:t>.</w:t>
      </w:r>
    </w:p>
    <w:p w:rsidR="00757AF7" w:rsidRDefault="00757AF7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Адрес Общества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Г. НИЖНИЙ НОВГОРОД, ПР-Т ГАГАРИНА, Д. 27</w:t>
      </w:r>
      <w:r w:rsidRPr="00C87047">
        <w:rPr>
          <w:rFonts w:ascii="Times New Roman" w:hAnsi="Times New Roman"/>
          <w:b/>
          <w:bCs/>
          <w:sz w:val="24"/>
          <w:szCs w:val="24"/>
        </w:rPr>
        <w:t>.</w:t>
      </w:r>
    </w:p>
    <w:p w:rsidR="00757AF7" w:rsidRDefault="0075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Вид общего собрания</w:t>
      </w:r>
      <w:r w:rsidRPr="00C87047">
        <w:rPr>
          <w:rFonts w:ascii="Times New Roman" w:hAnsi="Times New Roman"/>
          <w:color w:val="080808"/>
          <w:sz w:val="24"/>
          <w:szCs w:val="24"/>
        </w:rPr>
        <w:t>:</w:t>
      </w:r>
      <w:r w:rsidRPr="00C8704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80808"/>
          <w:sz w:val="24"/>
          <w:szCs w:val="24"/>
        </w:rPr>
        <w:t>внеочередное.</w:t>
      </w:r>
    </w:p>
    <w:p w:rsidR="00757AF7" w:rsidRDefault="0075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Форма проведения общего собрания: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заочное голосование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.</w:t>
      </w:r>
    </w:p>
    <w:p w:rsidR="00757AF7" w:rsidRDefault="0075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20202"/>
          <w:sz w:val="24"/>
          <w:szCs w:val="24"/>
        </w:rPr>
        <w:t>ата определения (фиксации) лиц, имевших право на участие в общем собрании акционеров Общества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: «02» декабря 2020 г.</w:t>
      </w:r>
    </w:p>
    <w:p w:rsidR="00757AF7" w:rsidRDefault="0075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Дата проведения общего собрания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: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«25» декабря 2020 г.</w:t>
      </w:r>
    </w:p>
    <w:p w:rsidR="00757AF7" w:rsidRDefault="0075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Сведения о регистраторе, выполнявшем функции счетной комиссии:</w:t>
      </w:r>
    </w:p>
    <w:p w:rsidR="00757AF7" w:rsidRDefault="0075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Полное фирменное наименование: Акционерное общество "Реестр".</w:t>
      </w:r>
    </w:p>
    <w:p w:rsidR="00757AF7" w:rsidRDefault="0075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Место нахождения: Российская Федерация, г. Москва.</w:t>
      </w:r>
    </w:p>
    <w:p w:rsidR="00757AF7" w:rsidRDefault="0075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Адрес регистратора: 129090, Москва, Б. Балканский пер., д. 20, стр. 1.</w:t>
      </w:r>
    </w:p>
    <w:p w:rsidR="00757AF7" w:rsidRDefault="0075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Лицо, уполномоченное АО «Реестр»: </w:t>
      </w:r>
      <w:proofErr w:type="spellStart"/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Петелин</w:t>
      </w:r>
      <w:proofErr w:type="spellEnd"/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Вадим Александрович.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</w:rPr>
        <w:t>Повестка дня собрания: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1. О предоставлении согласия на заключение Обществом крупной сделки с заинтересованностью - Договора поручительства с Банком ВТБ (ПАО) в обеспечение обязательств ООО «СТАНДАРТЪ».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2. О предоставлении согласия на заключение Обществом крупной сделки с заинтересованностью - Договора поручительства с Банком ВТБ (ПАО) в обеспечение обязательств АО «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</w:rPr>
        <w:t>Новопесчанское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</w:rPr>
        <w:t>».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Результаты голосования и формулировки принятых решений: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По вопросу повестки дня №1: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Формулировка решения, поставленного на голосование:</w:t>
      </w:r>
    </w:p>
    <w:p w:rsidR="00757AF7" w:rsidRPr="00D839AC" w:rsidRDefault="00757AF7" w:rsidP="00D839AC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D839AC">
        <w:rPr>
          <w:rFonts w:ascii="Times New Roman" w:hAnsi="Times New Roman"/>
          <w:color w:val="080808"/>
          <w:sz w:val="24"/>
          <w:szCs w:val="24"/>
        </w:rPr>
        <w:t xml:space="preserve">1. </w:t>
      </w:r>
      <w:r w:rsidRPr="00D839AC">
        <w:rPr>
          <w:rFonts w:ascii="Times New Roman" w:hAnsi="Times New Roman"/>
          <w:sz w:val="24"/>
          <w:szCs w:val="24"/>
        </w:rPr>
        <w:t xml:space="preserve">Предоставить согласие на заключение Обществом </w:t>
      </w:r>
      <w:r w:rsidRPr="00D839AC">
        <w:rPr>
          <w:rFonts w:ascii="Times New Roman" w:hAnsi="Times New Roman"/>
          <w:spacing w:val="-3"/>
          <w:sz w:val="24"/>
          <w:szCs w:val="24"/>
        </w:rPr>
        <w:t xml:space="preserve">с Публичным акционерным обществом «Банк ВТБ» </w:t>
      </w:r>
      <w:r w:rsidRPr="00D839AC">
        <w:rPr>
          <w:rFonts w:ascii="Times New Roman" w:hAnsi="Times New Roman"/>
          <w:sz w:val="24"/>
          <w:szCs w:val="24"/>
          <w:lang w:eastAsia="en-US"/>
        </w:rPr>
        <w:t xml:space="preserve">Договора поручительства </w:t>
      </w:r>
      <w:r w:rsidRPr="00D839AC">
        <w:rPr>
          <w:rFonts w:ascii="Times New Roman" w:hAnsi="Times New Roman"/>
          <w:spacing w:val="-3"/>
          <w:sz w:val="24"/>
          <w:szCs w:val="24"/>
        </w:rPr>
        <w:t>(далее – Договор поручительства) являющегося крупной сделкой и</w:t>
      </w:r>
      <w:r>
        <w:rPr>
          <w:rFonts w:ascii="Times New Roman" w:hAnsi="Times New Roman"/>
          <w:spacing w:val="-3"/>
          <w:sz w:val="24"/>
          <w:szCs w:val="24"/>
        </w:rPr>
        <w:t xml:space="preserve"> сделкой с заинтересованностью.</w:t>
      </w:r>
    </w:p>
    <w:p w:rsidR="00757AF7" w:rsidRPr="00D839AC" w:rsidRDefault="00757AF7" w:rsidP="00D83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AC">
        <w:rPr>
          <w:rFonts w:ascii="Times New Roman" w:hAnsi="Times New Roman"/>
          <w:sz w:val="24"/>
          <w:szCs w:val="24"/>
        </w:rPr>
        <w:t>Стороны Договора поручительства: Публичное акционерное общество «Банк ВТБ» – Банк и Общество – Акционерное общество «Гостиничный комплекс «ОКА» - Поручитель.</w:t>
      </w:r>
    </w:p>
    <w:p w:rsidR="00757AF7" w:rsidRPr="00D839AC" w:rsidRDefault="00757AF7" w:rsidP="00D83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AC">
        <w:rPr>
          <w:rFonts w:ascii="Times New Roman" w:hAnsi="Times New Roman"/>
          <w:sz w:val="24"/>
          <w:szCs w:val="24"/>
        </w:rPr>
        <w:t>Указанный договор поручительства заключен в обеспечение обязательств ООО «СТАНДАРТЪ» (далее – Клиент/Выгодоприобретатель) по сделкам, заключенным с Публичным акционерным обществом «Банк ВТБ» со след</w:t>
      </w:r>
      <w:r>
        <w:rPr>
          <w:rFonts w:ascii="Times New Roman" w:hAnsi="Times New Roman"/>
          <w:sz w:val="24"/>
          <w:szCs w:val="24"/>
        </w:rPr>
        <w:t>ующими существенными условиями:</w:t>
      </w:r>
    </w:p>
    <w:tbl>
      <w:tblPr>
        <w:tblW w:w="9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7229"/>
      </w:tblGrid>
      <w:tr w:rsidR="00757AF7" w:rsidRPr="00514EB3" w:rsidTr="0018566A"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Вид сделок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Заключение Генерального соглашения о выдаче гарантий без предоставления Принципалом на весь срок действия гарантии обеспечения в виде денежных средств/ векселей Банка ВТБ (ПАО) с залоговым индоссаментом в валюте гарантии на полную сумму гарантии на дату выдачи гарантии</w:t>
            </w:r>
          </w:p>
        </w:tc>
      </w:tr>
      <w:tr w:rsidR="00757AF7" w:rsidRPr="00514EB3" w:rsidDel="006F0306" w:rsidTr="0018566A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Вид гарантии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1. Гарантии в пользу </w:t>
            </w:r>
            <w:proofErr w:type="spellStart"/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Росалкогольрегулирования</w:t>
            </w:r>
            <w:proofErr w:type="spellEnd"/>
          </w:p>
          <w:p w:rsidR="00757AF7" w:rsidRPr="00514EB3" w:rsidDel="006F0306" w:rsidRDefault="00757AF7" w:rsidP="0018566A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2. Налоговые гарантии уплаты акцизных сборов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lastRenderedPageBreak/>
              <w:t>Лимит выдачи гарантий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sz w:val="18"/>
                <w:szCs w:val="18"/>
                <w:lang w:eastAsia="en-US"/>
              </w:rPr>
              <w:t>700 000 000,00 (Семьсот миллионов) рублей РФ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Валюты, в которых могут проводиться сделки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  <w:t>Рубль РФ</w:t>
            </w:r>
          </w:p>
        </w:tc>
      </w:tr>
      <w:tr w:rsidR="00757AF7" w:rsidRPr="00514EB3" w:rsidTr="0018566A">
        <w:trPr>
          <w:trHeight w:val="767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Бенефициар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Налоговые органы РФ </w:t>
            </w:r>
          </w:p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Межрегиональное управление Федеральной службы по регулированию алкогольного рынка</w:t>
            </w:r>
          </w:p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Конкретное наименование и адрес Бенефициара указывается в оферте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Целевое назначение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30" w:firstLine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Обеспечение обязательств Принципала по использованию приобретаемых/ полученных федеральных специальных марок в соответствии с условиями законодательных актов.</w:t>
            </w:r>
          </w:p>
          <w:p w:rsidR="00757AF7" w:rsidRPr="00514EB3" w:rsidRDefault="00757AF7" w:rsidP="0018566A">
            <w:pPr>
              <w:keepNext/>
              <w:tabs>
                <w:tab w:val="left" w:pos="35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2. Обеспечение исполнения обязательств Принципала по уплате суммы акциза по реализованной алкогольной и/ или подакцизной спиртосодержащей продукции в соответствии с условиями законодательных актов.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Период выдачи гарантий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20.10.2021 г. (включительно)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Срок гарантий в рамках Генерального соглашения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365 дней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Вознаграждения/ комиссии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вознаграждения/ комиссии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 выдачу гарантии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Размер, порядок расчета и уплаты вознаграждения/ комиссии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 xml:space="preserve">Не более 0,9% от суммы гарантии за период 3 месяца. </w:t>
            </w:r>
          </w:p>
          <w:p w:rsidR="00757AF7" w:rsidRPr="00514EB3" w:rsidRDefault="00757AF7" w:rsidP="0018566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 заявках/решениях о выдаче гарантии в рамках Генеральных соглашений указывается конкретная ставка вознаграждения.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Минимальное значение вознаграждения – 16 500,00 рублей за трехмесячный </w:t>
            </w:r>
            <w:proofErr w:type="gramStart"/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период  </w:t>
            </w:r>
            <w:r w:rsidRPr="00514EB3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(</w:t>
            </w:r>
            <w:proofErr w:type="gramEnd"/>
            <w:r w:rsidRPr="00514EB3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начиная с даты выдачи гарантии по дату прекращения гарантии)</w:t>
            </w: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Вознаграждение за выдачу гарантии рассчитывается за расчетное количество календарных дней действия гарантии в соответствующем трехмесячном периоде.</w:t>
            </w:r>
          </w:p>
          <w:p w:rsidR="00757AF7" w:rsidRPr="00514EB3" w:rsidRDefault="00757AF7" w:rsidP="0018566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 xml:space="preserve">Вознаграждение начисляется в последний рабочий день каждого календарного месяца, а в месяце окончания очередного трехмесячного периода/прекращения гарантии – в дату окончания соответствующего трехмесячного комиссионного периода/дату прекращения гарантии. </w:t>
            </w:r>
          </w:p>
          <w:p w:rsidR="00757AF7" w:rsidRPr="00514EB3" w:rsidRDefault="00757AF7" w:rsidP="0018566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Вознаграждение подлежит уплате в течение 5 (Пяти) рабочих дней с даты окончания соответствующего трехмесячного периода/прекращения действия гарантии.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вознаграждения/ комиссии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 изменение условий гарантии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16 500,00 рублей за каждое изменение</w:t>
            </w:r>
          </w:p>
          <w:p w:rsidR="00757AF7" w:rsidRPr="00514EB3" w:rsidRDefault="00757AF7" w:rsidP="001856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Уплачивается в срок не позднее 3-х рабочих дней с даты изменения условий гарантии.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Санкции по Принципалу</w:t>
            </w:r>
          </w:p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Вид санкции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за несвоевременное возмещение Принципалом Банку суммы осуществленного Банком платежа по гарантии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Порядок взимания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4,5-кратная величина ключевой ставки Банка России на дату возникновения задолженности по возмещению платежа, но не менее 27% годовых.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sz w:val="18"/>
                <w:szCs w:val="18"/>
                <w:lang w:eastAsia="en-US"/>
              </w:rPr>
              <w:t>Санкции по Поручителю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Вид санкции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За неисполнение или ненадлежащее исполнение Поручителем денежных обязательств по договору поручительства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sz w:val="18"/>
                <w:szCs w:val="18"/>
                <w:lang w:eastAsia="en-US"/>
              </w:rPr>
              <w:t>Порядок взимания</w:t>
            </w:r>
          </w:p>
        </w:tc>
      </w:tr>
      <w:tr w:rsidR="00757AF7" w:rsidRPr="00514EB3" w:rsidTr="0018566A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18566A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4,5-кратная величина ключевой ставки Банка России на дату неисполнения или ненадлежащего исполнения Поручителем денежных обязательств по договору поручительства, но не менее 27% </w:t>
            </w:r>
            <w:r w:rsidRPr="00BE4464">
              <w:rPr>
                <w:rFonts w:ascii="Times New Roman" w:hAnsi="Times New Roman" w:cs="Arial"/>
                <w:sz w:val="18"/>
                <w:szCs w:val="18"/>
                <w:lang w:eastAsia="en-US"/>
              </w:rPr>
              <w:t>годовых. Поручительство прекращается через три года с даты окончания срока действия лимита по выдаче гарантий, либо с прекращением обеспеченных им обязательств</w:t>
            </w:r>
            <w:r w:rsidRPr="00BE4464">
              <w:rPr>
                <w:rFonts w:ascii="Times New Roman" w:hAnsi="Times New Roman" w:cs="Arial"/>
                <w:i/>
                <w:sz w:val="18"/>
                <w:szCs w:val="18"/>
                <w:lang w:eastAsia="en-US"/>
              </w:rPr>
              <w:t xml:space="preserve">. </w:t>
            </w:r>
            <w:r w:rsidRPr="00BE4464">
              <w:rPr>
                <w:rFonts w:ascii="Times New Roman" w:hAnsi="Times New Roman" w:cs="Arial"/>
                <w:sz w:val="18"/>
                <w:szCs w:val="18"/>
                <w:lang w:eastAsia="en-US"/>
              </w:rPr>
              <w:t>Поручительство является солидарным на полную сумму обязательств Принципала</w:t>
            </w:r>
          </w:p>
        </w:tc>
      </w:tr>
    </w:tbl>
    <w:p w:rsidR="00757AF7" w:rsidRPr="00B03BEF" w:rsidRDefault="00757AF7" w:rsidP="00B03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EF">
        <w:rPr>
          <w:rFonts w:ascii="Times New Roman" w:hAnsi="Times New Roman"/>
          <w:sz w:val="24"/>
          <w:szCs w:val="24"/>
        </w:rPr>
        <w:t>Сделка поручительства является для Общества крупной сделкой, сумма которой определена от балансовой стоимости активов Общества, определенной по данным бухгалтерской отчетности на последнюю отчетную дату, предшествующую дате совершения сделки.</w:t>
      </w:r>
    </w:p>
    <w:p w:rsidR="00757AF7" w:rsidRPr="00B03BEF" w:rsidRDefault="00757AF7" w:rsidP="00B03BEF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В сделке поручительства в обеспечение исполнения обязательств ООО «СТАНДАРТЪ» имеется заинтересованность:</w:t>
      </w:r>
    </w:p>
    <w:p w:rsidR="00757AF7" w:rsidRPr="00B03BEF" w:rsidRDefault="00757AF7" w:rsidP="00B03BEF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Савельева Д.В., одновременно осуществляющего косвенный контроль над Поручителем и Принципалом через ООО Торговый центр «</w:t>
      </w:r>
      <w:proofErr w:type="spellStart"/>
      <w:r w:rsidRPr="00B03BEF">
        <w:rPr>
          <w:rFonts w:ascii="Times New Roman" w:hAnsi="Times New Roman"/>
          <w:spacing w:val="-3"/>
          <w:sz w:val="24"/>
          <w:szCs w:val="24"/>
        </w:rPr>
        <w:t>Бусиново</w:t>
      </w:r>
      <w:proofErr w:type="spellEnd"/>
      <w:r w:rsidRPr="00B03BEF">
        <w:rPr>
          <w:rFonts w:ascii="Times New Roman" w:hAnsi="Times New Roman"/>
          <w:spacing w:val="-3"/>
          <w:sz w:val="24"/>
          <w:szCs w:val="24"/>
        </w:rPr>
        <w:t>», ООО «Терра» и ООО «ФОРА» и ООО «Инвестиционная компания «Нижний»;</w:t>
      </w:r>
    </w:p>
    <w:p w:rsidR="00757AF7" w:rsidRPr="00B03BEF" w:rsidRDefault="00757AF7" w:rsidP="00B03BEF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ООО Торговый центр «</w:t>
      </w:r>
      <w:proofErr w:type="spellStart"/>
      <w:r w:rsidRPr="00B03BEF">
        <w:rPr>
          <w:rFonts w:ascii="Times New Roman" w:hAnsi="Times New Roman"/>
          <w:spacing w:val="-3"/>
          <w:sz w:val="24"/>
          <w:szCs w:val="24"/>
        </w:rPr>
        <w:t>Бусиново</w:t>
      </w:r>
      <w:proofErr w:type="spellEnd"/>
      <w:r w:rsidRPr="00B03BEF">
        <w:rPr>
          <w:rFonts w:ascii="Times New Roman" w:hAnsi="Times New Roman"/>
          <w:spacing w:val="-3"/>
          <w:sz w:val="24"/>
          <w:szCs w:val="24"/>
        </w:rPr>
        <w:t xml:space="preserve">», одновременно осуществляющее косвенный контроль над </w:t>
      </w:r>
      <w:r w:rsidRPr="00B03BEF">
        <w:rPr>
          <w:rFonts w:ascii="Times New Roman" w:hAnsi="Times New Roman"/>
          <w:spacing w:val="-3"/>
          <w:sz w:val="24"/>
          <w:szCs w:val="24"/>
        </w:rPr>
        <w:lastRenderedPageBreak/>
        <w:t>Поручителем и Принципалом через ООО «Терра», ООО «ФОРА» и ООО «Инвестиционная компания «Нижний»;</w:t>
      </w:r>
    </w:p>
    <w:p w:rsidR="00757AF7" w:rsidRPr="00B03BEF" w:rsidRDefault="00757AF7" w:rsidP="00B03BEF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ООО «Терра», одновременно осуществляющее косвенный контроль над Поручителем и Принципалом через ООО «ФОРА» и ООО «Инвестиционная компания «Нижний»;</w:t>
      </w:r>
    </w:p>
    <w:p w:rsidR="00757AF7" w:rsidRPr="00B03BEF" w:rsidRDefault="00757AF7" w:rsidP="00B03BEF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ООО «ФОРА», одновременно осуществляющее косвенный контроль над Поручителем и Принципалом через ООО «Инвестиционная компания «Нижний»;</w:t>
      </w:r>
    </w:p>
    <w:p w:rsidR="00757AF7" w:rsidRPr="00B03BEF" w:rsidRDefault="00757AF7" w:rsidP="00D8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ООО «Инвестиционная компания «Нижний» одновременно осуществляющее прямой контроль над Поручителем и Принципалом.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41 633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41 633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41 483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474</w:t>
            </w:r>
          </w:p>
        </w:tc>
      </w:tr>
    </w:tbl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Кворум по данному вопросу повестки дня имеется*.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*кворум по данному вопросу повестки дня определяется от общего количества размещенных голосующих акций.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Итоги голосования всех лиц, принявших участие в общем собрании: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41 483 |  100%*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</w:tbl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</w:rPr>
      </w:pPr>
      <w:r>
        <w:rPr>
          <w:rFonts w:ascii="Times New Roman CYR" w:hAnsi="Times New Roman CYR" w:cs="Times New Roman CYR"/>
          <w:color w:val="080808"/>
          <w:sz w:val="20"/>
          <w:szCs w:val="20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Итоги голосования лиц, не заинтересованных в совершении сделки, принявших участие в общем собрании: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474 |  100%*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lastRenderedPageBreak/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</w:tbl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</w:rPr>
      </w:pPr>
      <w:r>
        <w:rPr>
          <w:rFonts w:ascii="Times New Roman CYR" w:hAnsi="Times New Roman CYR" w:cs="Times New Roman CYR"/>
          <w:color w:val="080808"/>
          <w:sz w:val="20"/>
          <w:szCs w:val="20"/>
        </w:rPr>
        <w:t xml:space="preserve">             *процент определяется от общего числа голосов, приходившихся на голосующие акции общества, владельцами которых являлись принявшие участие в общем собрании лица, не заинтересованные в совершении сделки, определенного с учетом положений п.4.24 «Положения об общих собраниях акционеров» (утв. Банком России 16.11.2018 N 660-П).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Формулировка решения, принятого общим собранием:</w:t>
      </w:r>
    </w:p>
    <w:p w:rsidR="00757AF7" w:rsidRPr="00D839AC" w:rsidRDefault="00757AF7" w:rsidP="00842C99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D839AC">
        <w:rPr>
          <w:rFonts w:ascii="Times New Roman" w:hAnsi="Times New Roman"/>
          <w:color w:val="080808"/>
          <w:sz w:val="24"/>
          <w:szCs w:val="24"/>
        </w:rPr>
        <w:t xml:space="preserve">1. </w:t>
      </w:r>
      <w:r w:rsidRPr="00D839AC">
        <w:rPr>
          <w:rFonts w:ascii="Times New Roman" w:hAnsi="Times New Roman"/>
          <w:sz w:val="24"/>
          <w:szCs w:val="24"/>
        </w:rPr>
        <w:t xml:space="preserve">Предоставить согласие на заключение Обществом </w:t>
      </w:r>
      <w:r w:rsidRPr="00D839AC">
        <w:rPr>
          <w:rFonts w:ascii="Times New Roman" w:hAnsi="Times New Roman"/>
          <w:spacing w:val="-3"/>
          <w:sz w:val="24"/>
          <w:szCs w:val="24"/>
        </w:rPr>
        <w:t xml:space="preserve">с Публичным акционерным обществом «Банк ВТБ» </w:t>
      </w:r>
      <w:r w:rsidRPr="00D839AC">
        <w:rPr>
          <w:rFonts w:ascii="Times New Roman" w:hAnsi="Times New Roman"/>
          <w:sz w:val="24"/>
          <w:szCs w:val="24"/>
          <w:lang w:eastAsia="en-US"/>
        </w:rPr>
        <w:t xml:space="preserve">Договора поручительства </w:t>
      </w:r>
      <w:r w:rsidRPr="00D839AC">
        <w:rPr>
          <w:rFonts w:ascii="Times New Roman" w:hAnsi="Times New Roman"/>
          <w:spacing w:val="-3"/>
          <w:sz w:val="24"/>
          <w:szCs w:val="24"/>
        </w:rPr>
        <w:t>(далее – Договор поручительства) являющегося крупной сделкой и</w:t>
      </w:r>
      <w:r>
        <w:rPr>
          <w:rFonts w:ascii="Times New Roman" w:hAnsi="Times New Roman"/>
          <w:spacing w:val="-3"/>
          <w:sz w:val="24"/>
          <w:szCs w:val="24"/>
        </w:rPr>
        <w:t xml:space="preserve"> сделкой с заинтересованностью.</w:t>
      </w:r>
    </w:p>
    <w:p w:rsidR="00757AF7" w:rsidRPr="00D839AC" w:rsidRDefault="00757AF7" w:rsidP="00842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AC">
        <w:rPr>
          <w:rFonts w:ascii="Times New Roman" w:hAnsi="Times New Roman"/>
          <w:sz w:val="24"/>
          <w:szCs w:val="24"/>
        </w:rPr>
        <w:t>Стороны Договора поручительства: Публичное акционерное общество «Банк ВТБ» – Банк и Общество – Акционерное общество «Гостиничный комплекс «ОКА» - Поручитель.</w:t>
      </w:r>
    </w:p>
    <w:p w:rsidR="00757AF7" w:rsidRPr="00D839AC" w:rsidRDefault="00757AF7" w:rsidP="0084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AC">
        <w:rPr>
          <w:rFonts w:ascii="Times New Roman" w:hAnsi="Times New Roman"/>
          <w:sz w:val="24"/>
          <w:szCs w:val="24"/>
        </w:rPr>
        <w:t>Указанный договор поручительства заключен в обеспечение обязательств ООО «СТАНДАРТЪ» (далее – Клиент/Выгодоприобретатель) по сделкам, заключенным с Публичным акционерным обществом «Банк ВТБ» со след</w:t>
      </w:r>
      <w:r>
        <w:rPr>
          <w:rFonts w:ascii="Times New Roman" w:hAnsi="Times New Roman"/>
          <w:sz w:val="24"/>
          <w:szCs w:val="24"/>
        </w:rPr>
        <w:t>ующими существенными условиями:</w:t>
      </w:r>
    </w:p>
    <w:tbl>
      <w:tblPr>
        <w:tblW w:w="9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7229"/>
      </w:tblGrid>
      <w:tr w:rsidR="00757AF7" w:rsidRPr="00514EB3" w:rsidTr="00E529D8"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Вид сделок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Заключение Генерального соглашения о выдаче гарантий без предоставления Принципалом на весь срок действия гарантии обеспечения в виде денежных средств/ векселей Банка ВТБ (ПАО) с залоговым индоссаментом в валюте гарантии на полную сумму гарантии на дату выдачи гарантии</w:t>
            </w:r>
          </w:p>
        </w:tc>
      </w:tr>
      <w:tr w:rsidR="00757AF7" w:rsidRPr="00514EB3" w:rsidDel="006F0306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Вид гарантии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1. Гарантии в пользу </w:t>
            </w:r>
            <w:proofErr w:type="spellStart"/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Росалкогольрегулирования</w:t>
            </w:r>
            <w:proofErr w:type="spellEnd"/>
          </w:p>
          <w:p w:rsidR="00757AF7" w:rsidRPr="00514EB3" w:rsidDel="006F0306" w:rsidRDefault="00757AF7" w:rsidP="00E529D8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2. Налоговые гарантии уплаты акцизных сборов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Лимит выдачи гарантий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sz w:val="18"/>
                <w:szCs w:val="18"/>
                <w:lang w:eastAsia="en-US"/>
              </w:rPr>
              <w:t>700 000 000,00 (Семьсот миллионов) рублей РФ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Валюты, в которых могут проводиться сделки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  <w:t>Рубль РФ</w:t>
            </w:r>
          </w:p>
        </w:tc>
      </w:tr>
      <w:tr w:rsidR="00757AF7" w:rsidRPr="00514EB3" w:rsidTr="00E529D8">
        <w:trPr>
          <w:trHeight w:val="767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Бенефициар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Налоговые органы РФ </w:t>
            </w:r>
          </w:p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Межрегиональное управление Федеральной службы по регулированию алкогольного рынка</w:t>
            </w:r>
          </w:p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Конкретное наименование и адрес Бенефициара указывается в оферте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Целевое назначение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30" w:firstLine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Обеспечение обязательств Принципала по использованию приобретаемых/ полученных федеральных специальных марок в соответствии с условиями законодательных актов.</w:t>
            </w:r>
          </w:p>
          <w:p w:rsidR="00757AF7" w:rsidRPr="00514EB3" w:rsidRDefault="00757AF7" w:rsidP="00E529D8">
            <w:pPr>
              <w:keepNext/>
              <w:tabs>
                <w:tab w:val="left" w:pos="35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2. Обеспечение исполнения обязательств Принципала по уплате суммы акциза по реализованной алкогольной и/ или подакцизной спиртосодержащей продукции в соответствии с условиями законодательных актов.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Период выдачи гарантий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20.10.2021 г. (включительно)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Срок гарантий в рамках Генерального соглашения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365 дней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Вознаграждения/ комиссии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вознаграждения/ комиссии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 выдачу гарантии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Размер, порядок расчета и уплаты вознаграждения/ комиссии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 xml:space="preserve">Не более 0,9% от суммы гарантии за период 3 месяца. </w:t>
            </w:r>
          </w:p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 заявках/решениях о выдаче гарантии в рамках Генеральных соглашений указывается конкретная ставка вознаграждения.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Минимальное значение вознаграждения – 16 500,00 рублей за трехмесячный </w:t>
            </w:r>
            <w:proofErr w:type="gramStart"/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период  </w:t>
            </w:r>
            <w:r w:rsidRPr="00514EB3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(</w:t>
            </w:r>
            <w:proofErr w:type="gramEnd"/>
            <w:r w:rsidRPr="00514EB3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начиная с даты выдачи гарантии по дату прекращения гарантии)</w:t>
            </w: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Вознаграждение за выдачу гарантии рассчитывается за расчетное количество календарных дней действия гарантии в соответствующем трехмесячном периоде.</w:t>
            </w:r>
          </w:p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 xml:space="preserve">Вознаграждение начисляется в последний рабочий день каждого календарного месяца, а в месяце окончания очередного трехмесячного периода/прекращения гарантии – в дату окончания соответствующего трехмесячного комиссионного периода/дату прекращения гарантии. </w:t>
            </w:r>
          </w:p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 xml:space="preserve">Вознаграждение подлежит уплате в течение 5 (Пяти) рабочих дней с даты окончания </w:t>
            </w:r>
            <w:r w:rsidRPr="00514EB3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соответствующего трехмесячного периода/прекращения действия гарантии.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вознаграждения/ комиссии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 изменение условий гарантии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16 500,00 рублей за каждое изменение</w:t>
            </w:r>
          </w:p>
          <w:p w:rsidR="00757AF7" w:rsidRPr="00514EB3" w:rsidRDefault="00757AF7" w:rsidP="00E529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Уплачивается в срок не позднее 3-х рабочих дней с даты изменения условий гарантии.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Санкции по Принципалу</w:t>
            </w:r>
          </w:p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Вид санкции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за несвоевременное возмещение Принципалом Банку суммы осуществленного Банком платежа по гарантии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Порядок взимания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4,5-кратная величина ключевой ставки Банка России на дату возникновения задолженности по возмещению платежа, но не менее 27% годовых.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sz w:val="18"/>
                <w:szCs w:val="18"/>
                <w:lang w:eastAsia="en-US"/>
              </w:rPr>
              <w:t>Санкции по Поручителю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Вид санкции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За неисполнение или ненадлежащее исполнение Поручителем денежных обязательств по договору поручительства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sz w:val="18"/>
                <w:szCs w:val="18"/>
                <w:lang w:eastAsia="en-US"/>
              </w:rPr>
              <w:t>Порядок взимания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4,5-кратная величина ключевой ставки Банка России на дату неисполнения или ненадлежащего исполнения Поручителем денежных обязательств по договору поручительства, но не менее 27% </w:t>
            </w:r>
            <w:r w:rsidRPr="00BE4464">
              <w:rPr>
                <w:rFonts w:ascii="Times New Roman" w:hAnsi="Times New Roman" w:cs="Arial"/>
                <w:sz w:val="18"/>
                <w:szCs w:val="18"/>
                <w:lang w:eastAsia="en-US"/>
              </w:rPr>
              <w:t>годовых. Поручительство прекращается через три года с даты окончания срока действия лимита по выдаче гарантий, либо с прекращением обеспеченных им обязательств</w:t>
            </w:r>
            <w:r w:rsidRPr="00BE4464">
              <w:rPr>
                <w:rFonts w:ascii="Times New Roman" w:hAnsi="Times New Roman" w:cs="Arial"/>
                <w:i/>
                <w:sz w:val="18"/>
                <w:szCs w:val="18"/>
                <w:lang w:eastAsia="en-US"/>
              </w:rPr>
              <w:t xml:space="preserve">. </w:t>
            </w:r>
            <w:r w:rsidRPr="00BE4464">
              <w:rPr>
                <w:rFonts w:ascii="Times New Roman" w:hAnsi="Times New Roman" w:cs="Arial"/>
                <w:sz w:val="18"/>
                <w:szCs w:val="18"/>
                <w:lang w:eastAsia="en-US"/>
              </w:rPr>
              <w:t>Поручительство является солидарным на полную сумму обязательств Принципала</w:t>
            </w:r>
          </w:p>
        </w:tc>
      </w:tr>
    </w:tbl>
    <w:p w:rsidR="00757AF7" w:rsidRPr="00B03BEF" w:rsidRDefault="00757AF7" w:rsidP="0084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EF">
        <w:rPr>
          <w:rFonts w:ascii="Times New Roman" w:hAnsi="Times New Roman"/>
          <w:sz w:val="24"/>
          <w:szCs w:val="24"/>
        </w:rPr>
        <w:t>Сделка поручительства является для Общества крупной сделкой, сумма которой определена от балансовой стоимости активов Общества, определенной по данным бухгалтерской отчетности на последнюю отчетную дату, предшествующую дате совершения сделки.</w:t>
      </w:r>
    </w:p>
    <w:p w:rsidR="00757AF7" w:rsidRPr="00B03BEF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В сделке поручительства в обеспечение исполнения обязательств ООО «СТАНДАРТЪ» имеется заинтересованность:</w:t>
      </w:r>
    </w:p>
    <w:p w:rsidR="00757AF7" w:rsidRPr="00B03BEF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Савельева Д.В., одновременно осуществляющего косвенный контроль над Поручителем и Принципалом через ООО Торговый центр «</w:t>
      </w:r>
      <w:proofErr w:type="spellStart"/>
      <w:r w:rsidRPr="00B03BEF">
        <w:rPr>
          <w:rFonts w:ascii="Times New Roman" w:hAnsi="Times New Roman"/>
          <w:spacing w:val="-3"/>
          <w:sz w:val="24"/>
          <w:szCs w:val="24"/>
        </w:rPr>
        <w:t>Бусиново</w:t>
      </w:r>
      <w:proofErr w:type="spellEnd"/>
      <w:r w:rsidRPr="00B03BEF">
        <w:rPr>
          <w:rFonts w:ascii="Times New Roman" w:hAnsi="Times New Roman"/>
          <w:spacing w:val="-3"/>
          <w:sz w:val="24"/>
          <w:szCs w:val="24"/>
        </w:rPr>
        <w:t>», ООО «Терра» и ООО «ФОРА» и ООО «Инвестиционная компания «Нижний»;</w:t>
      </w:r>
    </w:p>
    <w:p w:rsidR="00757AF7" w:rsidRPr="00B03BEF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ООО Торговый центр «</w:t>
      </w:r>
      <w:proofErr w:type="spellStart"/>
      <w:r w:rsidRPr="00B03BEF">
        <w:rPr>
          <w:rFonts w:ascii="Times New Roman" w:hAnsi="Times New Roman"/>
          <w:spacing w:val="-3"/>
          <w:sz w:val="24"/>
          <w:szCs w:val="24"/>
        </w:rPr>
        <w:t>Бусиново</w:t>
      </w:r>
      <w:proofErr w:type="spellEnd"/>
      <w:r w:rsidRPr="00B03BEF">
        <w:rPr>
          <w:rFonts w:ascii="Times New Roman" w:hAnsi="Times New Roman"/>
          <w:spacing w:val="-3"/>
          <w:sz w:val="24"/>
          <w:szCs w:val="24"/>
        </w:rPr>
        <w:t>», одновременно осуществляющее косвенный контроль над Поручителем и Принципалом через ООО «Терра», ООО «ФОРА» и ООО «Инвестиционная компания «Нижний»;</w:t>
      </w:r>
    </w:p>
    <w:p w:rsidR="00757AF7" w:rsidRPr="00B03BEF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ООО «Терра», одновременно осуществляющее косвенный контроль над Поручителем и Принципалом через ООО «ФОРА» и ООО «Инвестиционная компания «Нижний»;</w:t>
      </w:r>
    </w:p>
    <w:p w:rsidR="00757AF7" w:rsidRPr="00B03BEF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ООО «ФОРА», одновременно осуществляющее косвенный контроль над Поручителем и Принципалом через ООО «Инвестиционная компания «Нижний»;</w:t>
      </w:r>
    </w:p>
    <w:p w:rsidR="00757AF7" w:rsidRPr="00B03BEF" w:rsidRDefault="00757AF7" w:rsidP="0084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B03BEF">
        <w:rPr>
          <w:rFonts w:ascii="Times New Roman" w:hAnsi="Times New Roman"/>
          <w:spacing w:val="-3"/>
          <w:sz w:val="24"/>
          <w:szCs w:val="24"/>
        </w:rPr>
        <w:t>- ООО «Инвестиционная компания «Нижний» одновременно осуществляющее прямой контроль над Поручителем и Принципалом.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По вопросу повестки дня №2: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Формулировка решения, поставленного на голосование:</w:t>
      </w:r>
    </w:p>
    <w:p w:rsidR="00757AF7" w:rsidRPr="00A41C38" w:rsidRDefault="00757AF7" w:rsidP="00A41C38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41C38">
        <w:rPr>
          <w:rFonts w:ascii="Times New Roman" w:hAnsi="Times New Roman"/>
          <w:color w:val="080808"/>
          <w:sz w:val="24"/>
          <w:szCs w:val="24"/>
        </w:rPr>
        <w:t xml:space="preserve">2. </w:t>
      </w:r>
      <w:r w:rsidRPr="00A41C38">
        <w:rPr>
          <w:rFonts w:ascii="Times New Roman" w:hAnsi="Times New Roman"/>
          <w:sz w:val="24"/>
          <w:szCs w:val="24"/>
        </w:rPr>
        <w:t xml:space="preserve">Предоставить согласие на заключение Обществом </w:t>
      </w:r>
      <w:r w:rsidRPr="00A41C38">
        <w:rPr>
          <w:rFonts w:ascii="Times New Roman" w:hAnsi="Times New Roman"/>
          <w:spacing w:val="-3"/>
          <w:sz w:val="24"/>
          <w:szCs w:val="24"/>
        </w:rPr>
        <w:t xml:space="preserve">с Публичным акционерным обществом «Банк ВТБ» </w:t>
      </w:r>
      <w:r w:rsidRPr="00A41C38">
        <w:rPr>
          <w:rFonts w:ascii="Times New Roman" w:hAnsi="Times New Roman"/>
          <w:sz w:val="24"/>
          <w:szCs w:val="24"/>
          <w:lang w:eastAsia="en-US"/>
        </w:rPr>
        <w:t xml:space="preserve">Договора поручительства </w:t>
      </w:r>
      <w:r w:rsidRPr="00A41C38">
        <w:rPr>
          <w:rFonts w:ascii="Times New Roman" w:hAnsi="Times New Roman"/>
          <w:spacing w:val="-3"/>
          <w:sz w:val="24"/>
          <w:szCs w:val="24"/>
        </w:rPr>
        <w:t xml:space="preserve">(далее – Договор поручительства) являющегося крупной сделкой и сделкой с заинтересованностью. </w:t>
      </w:r>
    </w:p>
    <w:p w:rsidR="00757AF7" w:rsidRPr="00A41C38" w:rsidRDefault="00757AF7" w:rsidP="00A4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C38">
        <w:rPr>
          <w:rFonts w:ascii="Times New Roman" w:hAnsi="Times New Roman"/>
          <w:sz w:val="24"/>
          <w:szCs w:val="24"/>
        </w:rPr>
        <w:t>Стороны Договора поручительства: Публичное акционерное общество «Банк ВТБ» – Банк и Общество – Акционерное общество «Гостиничный комплекс «ОКА» - Поручитель.</w:t>
      </w:r>
    </w:p>
    <w:p w:rsidR="00757AF7" w:rsidRPr="00A41C38" w:rsidRDefault="00757AF7" w:rsidP="00A4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C38">
        <w:rPr>
          <w:rFonts w:ascii="Times New Roman" w:hAnsi="Times New Roman"/>
          <w:sz w:val="24"/>
          <w:szCs w:val="24"/>
        </w:rPr>
        <w:t>Указанный договор поручительства заключен в обеспечение обязательств АО «</w:t>
      </w:r>
      <w:proofErr w:type="spellStart"/>
      <w:r w:rsidRPr="00A41C38">
        <w:rPr>
          <w:rFonts w:ascii="Times New Roman" w:hAnsi="Times New Roman"/>
          <w:sz w:val="24"/>
          <w:szCs w:val="24"/>
        </w:rPr>
        <w:t>Новопесчанское</w:t>
      </w:r>
      <w:proofErr w:type="spellEnd"/>
      <w:r w:rsidRPr="00A41C38">
        <w:rPr>
          <w:rFonts w:ascii="Times New Roman" w:hAnsi="Times New Roman"/>
          <w:sz w:val="24"/>
          <w:szCs w:val="24"/>
        </w:rPr>
        <w:t>» (далее – Клиент/Выгодоприобретатель) по сделкам, заключенным с Публичным акционерным обществом «Банк ВТБ» со следующими существенным</w:t>
      </w:r>
      <w:r>
        <w:rPr>
          <w:rFonts w:ascii="Times New Roman" w:hAnsi="Times New Roman"/>
          <w:sz w:val="24"/>
          <w:szCs w:val="24"/>
        </w:rPr>
        <w:t>и условиями:</w:t>
      </w:r>
    </w:p>
    <w:tbl>
      <w:tblPr>
        <w:tblW w:w="9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7229"/>
      </w:tblGrid>
      <w:tr w:rsidR="00757AF7" w:rsidRPr="00514EB3" w:rsidTr="00842C99"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Вид сделок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Заключение Генерального соглашения о выдаче гарантий без предоставления Принципалом на весь срок действия гарантии обеспечения в виде денежных средств/ векселей Банка ВТБ (ПАО) с залоговым индоссаментом в валюте гарантии на полную </w:t>
            </w: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lastRenderedPageBreak/>
              <w:t>сумму гарантии на дату выдачи гарантии</w:t>
            </w:r>
          </w:p>
        </w:tc>
      </w:tr>
      <w:tr w:rsidR="00757AF7" w:rsidRPr="00514EB3" w:rsidDel="006F0306" w:rsidTr="00842C99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lastRenderedPageBreak/>
              <w:t>Вид гарантии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1. Гарантии в пользу </w:t>
            </w:r>
            <w:proofErr w:type="spellStart"/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Росалкогольрегулирования</w:t>
            </w:r>
            <w:proofErr w:type="spellEnd"/>
          </w:p>
          <w:p w:rsidR="00757AF7" w:rsidRPr="00514EB3" w:rsidDel="006F0306" w:rsidRDefault="00757AF7" w:rsidP="00842C99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2. Налоговые гарантии уплаты акцизных сборов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Лимит выдачи гарантий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sz w:val="18"/>
                <w:szCs w:val="18"/>
                <w:lang w:eastAsia="en-US"/>
              </w:rPr>
              <w:t>700 000 000,00 (Семьсот миллионов) рублей РФ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Валюты, в которых могут проводиться сделки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  <w:t>Рубль РФ</w:t>
            </w:r>
          </w:p>
        </w:tc>
      </w:tr>
      <w:tr w:rsidR="00757AF7" w:rsidRPr="00514EB3" w:rsidTr="00842C99">
        <w:trPr>
          <w:trHeight w:val="767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Бенефициар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Налоговые органы РФ </w:t>
            </w:r>
          </w:p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Межрегиональное управление Федеральной службы по регулированию алкогольного рынка</w:t>
            </w:r>
          </w:p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Конкретное наименование и адрес Бенефициара указывается в оферте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Целевое назначение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30" w:firstLine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Обеспечение обязательств Принципала по использованию приобретаемых/ полученных федеральных специальных марок в соответствии с условиями законодательных актов.</w:t>
            </w:r>
          </w:p>
          <w:p w:rsidR="00757AF7" w:rsidRPr="00514EB3" w:rsidRDefault="00757AF7" w:rsidP="00842C99">
            <w:pPr>
              <w:keepNext/>
              <w:tabs>
                <w:tab w:val="left" w:pos="35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2. Обеспечение исполнения обязательств Принципала по уплате суммы акциза по реализованной алкогольной и/ или подакцизной спиртосодержащей продукции в соответствии с условиями законодательных актов.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Период выдачи гарантий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20.10.2021 г. (включительно)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Срок гарантий в рамках Генерального соглашения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365 дней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Вознаграждения/ комиссии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вознаграждения/ комиссии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 выдачу гарантии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Размер, порядок расчета и уплаты вознаграждения/ комиссии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 xml:space="preserve">Не более 0,9% от суммы гарантии за период 3 месяца. </w:t>
            </w:r>
          </w:p>
          <w:p w:rsidR="00757AF7" w:rsidRPr="00514EB3" w:rsidRDefault="00757AF7" w:rsidP="00842C99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 заявках/решениях о выдаче гарантии в рамках Генеральных соглашений указывается конкретная ставка вознаграждения.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Минимальное значение вознаграждения – 16 500,00 рублей за трехмесячный </w:t>
            </w:r>
            <w:proofErr w:type="gramStart"/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период  </w:t>
            </w:r>
            <w:r w:rsidRPr="00514EB3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(</w:t>
            </w:r>
            <w:proofErr w:type="gramEnd"/>
            <w:r w:rsidRPr="00514EB3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начиная с даты выдачи гарантии по дату прекращения гарантии)</w:t>
            </w: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Вознаграждение за выдачу гарантии рассчитывается за расчетное количество календарных дней действия гарантии в соответствующем трехмесячном периоде.</w:t>
            </w:r>
          </w:p>
          <w:p w:rsidR="00757AF7" w:rsidRPr="00514EB3" w:rsidRDefault="00757AF7" w:rsidP="00842C99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 xml:space="preserve">Вознаграждение начисляется в последний рабочий день каждого календарного месяца, а в месяце окончания очередного трехмесячного периода/прекращения гарантии – в дату окончания соответствующего трехмесячного комиссионного периода/дату прекращения гарантии. </w:t>
            </w:r>
          </w:p>
          <w:p w:rsidR="00757AF7" w:rsidRPr="00514EB3" w:rsidRDefault="00757AF7" w:rsidP="00842C99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Вознаграждение подлежит уплате в течение 5 (Пяти) рабочих дней с даты окончания соответствующего трехмесячного периода/прекращения действия гарантии.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вознаграждения/ комиссии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 изменение условий гарантии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16 500,00 рублей за каждое изменение</w:t>
            </w:r>
          </w:p>
          <w:p w:rsidR="00757AF7" w:rsidRPr="00514EB3" w:rsidRDefault="00757AF7" w:rsidP="00842C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Уплачивается в срок не позднее 3-х рабочих дней с даты изменения условий гарантии.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Санкции по Принципалу</w:t>
            </w:r>
          </w:p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Вид санкции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за несвоевременное возмещение Принципалом Банку суммы осуществленного Банком платежа по гарантии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Порядок взимания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4,5-кратная величина ключевой ставки Банка России на дату возникновения задолженности по возмещению платежа, но не менее 27% годовых.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sz w:val="18"/>
                <w:szCs w:val="18"/>
                <w:lang w:eastAsia="en-US"/>
              </w:rPr>
              <w:t>Санкции по Поручителю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Вид санкции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За неисполнение или ненадлежащее исполнение Поручителем денежных обязательств по договору поручительства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sz w:val="18"/>
                <w:szCs w:val="18"/>
                <w:lang w:eastAsia="en-US"/>
              </w:rPr>
              <w:t>Порядок взимания</w:t>
            </w:r>
          </w:p>
        </w:tc>
      </w:tr>
      <w:tr w:rsidR="00757AF7" w:rsidRPr="00514EB3" w:rsidTr="00842C99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842C99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4,5-кратная величина ключевой ставки Банка России на дату неисполнения или ненадлежащего исполнения Поручителем денежных обязательств по договору поручительства, но не </w:t>
            </w:r>
            <w:r w:rsidRPr="000672AC">
              <w:rPr>
                <w:rFonts w:ascii="Times New Roman" w:hAnsi="Times New Roman" w:cs="Arial"/>
                <w:sz w:val="18"/>
                <w:szCs w:val="18"/>
                <w:lang w:eastAsia="en-US"/>
              </w:rPr>
              <w:t>менее 27% годовых. Поручительство прекращается через три года с даты окончания срока действия лимита по выдаче гарантий, либо с прекращением обеспеченных им обязательств</w:t>
            </w:r>
            <w:r w:rsidRPr="000672AC">
              <w:rPr>
                <w:rFonts w:ascii="Times New Roman" w:hAnsi="Times New Roman" w:cs="Arial"/>
                <w:i/>
                <w:sz w:val="18"/>
                <w:szCs w:val="18"/>
                <w:lang w:eastAsia="en-US"/>
              </w:rPr>
              <w:t xml:space="preserve">. </w:t>
            </w:r>
            <w:r w:rsidRPr="000672AC">
              <w:rPr>
                <w:rFonts w:ascii="Times New Roman" w:hAnsi="Times New Roman" w:cs="Arial"/>
                <w:sz w:val="18"/>
                <w:szCs w:val="18"/>
                <w:lang w:eastAsia="en-US"/>
              </w:rPr>
              <w:t>Поручительство является солидарным на полную сумму обязательств Принципала</w:t>
            </w:r>
          </w:p>
        </w:tc>
      </w:tr>
    </w:tbl>
    <w:p w:rsidR="00757AF7" w:rsidRPr="002669DE" w:rsidRDefault="00757AF7" w:rsidP="002669D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69DE">
        <w:rPr>
          <w:rFonts w:ascii="Times New Roman" w:hAnsi="Times New Roman"/>
          <w:sz w:val="24"/>
          <w:szCs w:val="24"/>
        </w:rPr>
        <w:t>Сделка поручительства является для Общества крупной сделкой, сумма которой определена от балансовой стоимости активов Общества, определенной по данным бухгалтерской отчетности на последнюю отчетную дату, предшествующую дате совершения сделки.</w:t>
      </w:r>
    </w:p>
    <w:p w:rsidR="00757AF7" w:rsidRPr="002669DE" w:rsidRDefault="00757AF7" w:rsidP="00A41C38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2669DE">
        <w:rPr>
          <w:rFonts w:ascii="Times New Roman" w:hAnsi="Times New Roman"/>
          <w:spacing w:val="-3"/>
          <w:sz w:val="24"/>
          <w:szCs w:val="24"/>
        </w:rPr>
        <w:t>В сделке поручительства в обеспечение исполнения обязательств АО «</w:t>
      </w:r>
      <w:proofErr w:type="spellStart"/>
      <w:r w:rsidRPr="002669DE">
        <w:rPr>
          <w:rFonts w:ascii="Times New Roman" w:hAnsi="Times New Roman"/>
          <w:spacing w:val="-3"/>
          <w:sz w:val="24"/>
          <w:szCs w:val="24"/>
        </w:rPr>
        <w:t>Новопесчанское</w:t>
      </w:r>
      <w:proofErr w:type="spellEnd"/>
      <w:r w:rsidRPr="002669DE">
        <w:rPr>
          <w:rFonts w:ascii="Times New Roman" w:hAnsi="Times New Roman"/>
          <w:spacing w:val="-3"/>
          <w:sz w:val="24"/>
          <w:szCs w:val="24"/>
        </w:rPr>
        <w:t>» имеется заинтересованность:</w:t>
      </w:r>
    </w:p>
    <w:p w:rsidR="00757AF7" w:rsidRPr="002669DE" w:rsidRDefault="00757AF7" w:rsidP="00A41C38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2669DE">
        <w:rPr>
          <w:rFonts w:ascii="Times New Roman" w:hAnsi="Times New Roman"/>
          <w:spacing w:val="-3"/>
          <w:sz w:val="24"/>
          <w:szCs w:val="24"/>
        </w:rPr>
        <w:t xml:space="preserve">- Тишкова Е.К., Кудряшовой И.А., Крижановской Е.А., Маныловой С.А. и </w:t>
      </w:r>
      <w:proofErr w:type="spellStart"/>
      <w:r w:rsidRPr="002669DE">
        <w:rPr>
          <w:rFonts w:ascii="Times New Roman" w:hAnsi="Times New Roman"/>
          <w:spacing w:val="-3"/>
          <w:sz w:val="24"/>
          <w:szCs w:val="24"/>
        </w:rPr>
        <w:t>Швыркаевой</w:t>
      </w:r>
      <w:proofErr w:type="spellEnd"/>
      <w:r w:rsidRPr="002669DE">
        <w:rPr>
          <w:rFonts w:ascii="Times New Roman" w:hAnsi="Times New Roman"/>
          <w:spacing w:val="-3"/>
          <w:sz w:val="24"/>
          <w:szCs w:val="24"/>
        </w:rPr>
        <w:t xml:space="preserve"> И.В. – членов Наблюдательного </w:t>
      </w:r>
      <w:proofErr w:type="spellStart"/>
      <w:r w:rsidRPr="002669DE">
        <w:rPr>
          <w:rFonts w:ascii="Times New Roman" w:hAnsi="Times New Roman"/>
          <w:spacing w:val="-3"/>
          <w:sz w:val="24"/>
          <w:szCs w:val="24"/>
        </w:rPr>
        <w:t>советаПоручителя</w:t>
      </w:r>
      <w:proofErr w:type="spellEnd"/>
      <w:r w:rsidRPr="002669DE">
        <w:rPr>
          <w:rFonts w:ascii="Times New Roman" w:hAnsi="Times New Roman"/>
          <w:spacing w:val="-3"/>
          <w:sz w:val="24"/>
          <w:szCs w:val="24"/>
        </w:rPr>
        <w:t>, одновременно являющихся членами Совета директоров Принципала;</w:t>
      </w:r>
    </w:p>
    <w:p w:rsidR="00757AF7" w:rsidRPr="002669DE" w:rsidRDefault="00757AF7" w:rsidP="00A41C38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2669DE">
        <w:rPr>
          <w:rFonts w:ascii="Times New Roman" w:hAnsi="Times New Roman"/>
          <w:spacing w:val="-3"/>
          <w:sz w:val="24"/>
          <w:szCs w:val="24"/>
        </w:rPr>
        <w:t>- Савельева Д.В., одновременно осуществляющего косвенный контроль над Поручителем и Принципалом через ООО Торговый центр «</w:t>
      </w:r>
      <w:proofErr w:type="spellStart"/>
      <w:r w:rsidRPr="002669DE">
        <w:rPr>
          <w:rFonts w:ascii="Times New Roman" w:hAnsi="Times New Roman"/>
          <w:spacing w:val="-3"/>
          <w:sz w:val="24"/>
          <w:szCs w:val="24"/>
        </w:rPr>
        <w:t>Бусиново</w:t>
      </w:r>
      <w:proofErr w:type="spellEnd"/>
      <w:r w:rsidRPr="002669DE">
        <w:rPr>
          <w:rFonts w:ascii="Times New Roman" w:hAnsi="Times New Roman"/>
          <w:spacing w:val="-3"/>
          <w:sz w:val="24"/>
          <w:szCs w:val="24"/>
        </w:rPr>
        <w:t>», ООО «Терра» и ООО «ФОРА» и ООО «Инвестиционная компания «Нижний»;</w:t>
      </w:r>
    </w:p>
    <w:p w:rsidR="00757AF7" w:rsidRPr="002669DE" w:rsidRDefault="00757AF7" w:rsidP="00A41C38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2669DE">
        <w:rPr>
          <w:rFonts w:ascii="Times New Roman" w:hAnsi="Times New Roman"/>
          <w:spacing w:val="-3"/>
          <w:sz w:val="24"/>
          <w:szCs w:val="24"/>
        </w:rPr>
        <w:t>- ООО Торговый центр «</w:t>
      </w:r>
      <w:proofErr w:type="spellStart"/>
      <w:r w:rsidRPr="002669DE">
        <w:rPr>
          <w:rFonts w:ascii="Times New Roman" w:hAnsi="Times New Roman"/>
          <w:spacing w:val="-3"/>
          <w:sz w:val="24"/>
          <w:szCs w:val="24"/>
        </w:rPr>
        <w:t>Бусиново</w:t>
      </w:r>
      <w:proofErr w:type="spellEnd"/>
      <w:r w:rsidRPr="002669DE">
        <w:rPr>
          <w:rFonts w:ascii="Times New Roman" w:hAnsi="Times New Roman"/>
          <w:spacing w:val="-3"/>
          <w:sz w:val="24"/>
          <w:szCs w:val="24"/>
        </w:rPr>
        <w:t>», одновременно осуществляющее косвенный контроль над Поручителем и Принципалом через ООО «Терра», ООО «ФОРА» и ООО «Инвестиционная компания «Нижний»;</w:t>
      </w:r>
    </w:p>
    <w:p w:rsidR="00757AF7" w:rsidRPr="002669DE" w:rsidRDefault="00757AF7" w:rsidP="00A41C38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2669DE">
        <w:rPr>
          <w:rFonts w:ascii="Times New Roman" w:hAnsi="Times New Roman"/>
          <w:spacing w:val="-3"/>
          <w:sz w:val="24"/>
          <w:szCs w:val="24"/>
        </w:rPr>
        <w:t>- ООО «Терра», одновременно осуществляющее косвенный контроль над Поручителем и Принципалом через ООО «ФОРА» и ООО «Инвестиционная компания «Нижний»;</w:t>
      </w:r>
    </w:p>
    <w:p w:rsidR="00757AF7" w:rsidRPr="002669DE" w:rsidRDefault="00757AF7" w:rsidP="00A41C38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2669DE">
        <w:rPr>
          <w:rFonts w:ascii="Times New Roman" w:hAnsi="Times New Roman"/>
          <w:spacing w:val="-3"/>
          <w:sz w:val="24"/>
          <w:szCs w:val="24"/>
        </w:rPr>
        <w:t>- ООО «ФОРА», одновременно осуществляющее косвенный контроль над Поручителем и Принципалом через ООО «Инвестиционная компания «Нижний»;</w:t>
      </w:r>
    </w:p>
    <w:p w:rsidR="00757AF7" w:rsidRPr="002669DE" w:rsidRDefault="00757AF7" w:rsidP="002669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2669DE">
        <w:rPr>
          <w:rFonts w:ascii="Times New Roman" w:hAnsi="Times New Roman"/>
          <w:spacing w:val="-3"/>
          <w:sz w:val="24"/>
          <w:szCs w:val="24"/>
        </w:rPr>
        <w:t>- ООО «Инвестиционная компания «Нижний» одновременно осуществляющее прямой контроль над Поручителем и Принципалом.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41 633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41 633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41 483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2</w:t>
            </w:r>
          </w:p>
        </w:tc>
      </w:tr>
    </w:tbl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Кворум по данному вопросу повестки дня имеется*.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*кворум по данному вопросу повестки дня определяется от общего количества размещенных голосующих акций.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Итоги голосования всех лиц, принявших участие в общем собрании: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41 483 |  100%*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</w:tbl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</w:rPr>
      </w:pPr>
      <w:r>
        <w:rPr>
          <w:rFonts w:ascii="Times New Roman CYR" w:hAnsi="Times New Roman CYR" w:cs="Times New Roman CYR"/>
          <w:color w:val="080808"/>
          <w:sz w:val="20"/>
          <w:szCs w:val="20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2 |  100%*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757AF7" w:rsidRPr="00D8693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AF7" w:rsidRPr="00D8693B" w:rsidRDefault="0075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8693B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</w:tbl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0"/>
          <w:szCs w:val="20"/>
        </w:rPr>
        <w:t xml:space="preserve">             *процент определяется от общего числа голосов, приходившихся на голосующие акции общества, владельцами которых являлись принявшие участие в общем собрании лица, не заинтересованные в совершении сделки, определенного с учетом положений п.4.24 «Положения об общих собраниях акционеров» (утв. Банком России 16.11.2018 N 660-П).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Формулировка решения, принятого общим собранием:</w:t>
      </w:r>
    </w:p>
    <w:p w:rsidR="00757AF7" w:rsidRPr="00A41C38" w:rsidRDefault="00757AF7" w:rsidP="00842C99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41C38">
        <w:rPr>
          <w:rFonts w:ascii="Times New Roman" w:hAnsi="Times New Roman"/>
          <w:color w:val="080808"/>
          <w:sz w:val="24"/>
          <w:szCs w:val="24"/>
        </w:rPr>
        <w:t xml:space="preserve">2. </w:t>
      </w:r>
      <w:r w:rsidRPr="00A41C38">
        <w:rPr>
          <w:rFonts w:ascii="Times New Roman" w:hAnsi="Times New Roman"/>
          <w:sz w:val="24"/>
          <w:szCs w:val="24"/>
        </w:rPr>
        <w:t xml:space="preserve">Предоставить согласие на заключение Обществом </w:t>
      </w:r>
      <w:r w:rsidRPr="00A41C38">
        <w:rPr>
          <w:rFonts w:ascii="Times New Roman" w:hAnsi="Times New Roman"/>
          <w:spacing w:val="-3"/>
          <w:sz w:val="24"/>
          <w:szCs w:val="24"/>
        </w:rPr>
        <w:t xml:space="preserve">с Публичным акционерным обществом «Банк ВТБ» </w:t>
      </w:r>
      <w:r w:rsidRPr="00A41C38">
        <w:rPr>
          <w:rFonts w:ascii="Times New Roman" w:hAnsi="Times New Roman"/>
          <w:sz w:val="24"/>
          <w:szCs w:val="24"/>
          <w:lang w:eastAsia="en-US"/>
        </w:rPr>
        <w:t xml:space="preserve">Договора поручительства </w:t>
      </w:r>
      <w:r w:rsidRPr="00A41C38">
        <w:rPr>
          <w:rFonts w:ascii="Times New Roman" w:hAnsi="Times New Roman"/>
          <w:spacing w:val="-3"/>
          <w:sz w:val="24"/>
          <w:szCs w:val="24"/>
        </w:rPr>
        <w:t xml:space="preserve">(далее – Договор поручительства) являющегося крупной сделкой и сделкой с заинтересованностью. </w:t>
      </w:r>
    </w:p>
    <w:p w:rsidR="00757AF7" w:rsidRPr="00A41C38" w:rsidRDefault="00757AF7" w:rsidP="00842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C38">
        <w:rPr>
          <w:rFonts w:ascii="Times New Roman" w:hAnsi="Times New Roman"/>
          <w:sz w:val="24"/>
          <w:szCs w:val="24"/>
        </w:rPr>
        <w:t>Стороны Договора поручительства: Публичное акционерное общество «Банк ВТБ» – Банк и Общество – Акционерное общество «Гостиничный комплекс «ОКА» - Поручитель.</w:t>
      </w:r>
    </w:p>
    <w:p w:rsidR="00757AF7" w:rsidRPr="00A41C38" w:rsidRDefault="00757AF7" w:rsidP="0084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C38">
        <w:rPr>
          <w:rFonts w:ascii="Times New Roman" w:hAnsi="Times New Roman"/>
          <w:sz w:val="24"/>
          <w:szCs w:val="24"/>
        </w:rPr>
        <w:t>Указанный договор поручительства заключен в обеспечение обязательств АО «</w:t>
      </w:r>
      <w:proofErr w:type="spellStart"/>
      <w:r w:rsidRPr="00A41C38">
        <w:rPr>
          <w:rFonts w:ascii="Times New Roman" w:hAnsi="Times New Roman"/>
          <w:sz w:val="24"/>
          <w:szCs w:val="24"/>
        </w:rPr>
        <w:t>Новопесчанское</w:t>
      </w:r>
      <w:proofErr w:type="spellEnd"/>
      <w:r w:rsidRPr="00A41C38">
        <w:rPr>
          <w:rFonts w:ascii="Times New Roman" w:hAnsi="Times New Roman"/>
          <w:sz w:val="24"/>
          <w:szCs w:val="24"/>
        </w:rPr>
        <w:t>» (далее – Клиент/Выгодоприобретатель) по сделкам, заключенным с Публичным акционерным обществом «Банк ВТБ» со следующими существенным</w:t>
      </w:r>
      <w:r>
        <w:rPr>
          <w:rFonts w:ascii="Times New Roman" w:hAnsi="Times New Roman"/>
          <w:sz w:val="24"/>
          <w:szCs w:val="24"/>
        </w:rPr>
        <w:t>и условиями:</w:t>
      </w:r>
    </w:p>
    <w:tbl>
      <w:tblPr>
        <w:tblW w:w="9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7229"/>
      </w:tblGrid>
      <w:tr w:rsidR="00757AF7" w:rsidRPr="00514EB3" w:rsidTr="00E529D8"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Вид сделок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Заключение Генерального соглашения о выдаче гарантий без предоставления Принципалом на весь срок действия гарантии обеспечения в виде денежных средств/ векселей Банка ВТБ (ПАО) с залоговым индоссаментом в валюте гарантии на полную сумму гарантии на дату выдачи гарантии</w:t>
            </w:r>
          </w:p>
        </w:tc>
      </w:tr>
      <w:tr w:rsidR="00757AF7" w:rsidRPr="00514EB3" w:rsidDel="006F0306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Вид гарантии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1. Гарантии в пользу </w:t>
            </w:r>
            <w:proofErr w:type="spellStart"/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Росалкогольрегулирования</w:t>
            </w:r>
            <w:proofErr w:type="spellEnd"/>
          </w:p>
          <w:p w:rsidR="00757AF7" w:rsidRPr="00514EB3" w:rsidDel="006F0306" w:rsidRDefault="00757AF7" w:rsidP="00E529D8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2. Налоговые гарантии уплаты акцизных сборов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Лимит выдачи гарантий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sz w:val="18"/>
                <w:szCs w:val="18"/>
                <w:lang w:eastAsia="en-US"/>
              </w:rPr>
              <w:t>700 000 000,00 (Семьсот миллионов) рублей РФ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Валюты, в которых могут проводиться сделки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  <w:t>Рубль РФ</w:t>
            </w:r>
          </w:p>
        </w:tc>
      </w:tr>
      <w:tr w:rsidR="00757AF7" w:rsidRPr="00514EB3" w:rsidTr="00E529D8">
        <w:trPr>
          <w:trHeight w:val="767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Бенефициар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Налоговые органы РФ </w:t>
            </w:r>
          </w:p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Межрегиональное управление Федеральной службы по регулированию алкогольного рынка</w:t>
            </w:r>
          </w:p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>Конкретное наименование и адрес Бенефициара указывается в оферте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Целевое назначение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30" w:firstLine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Обеспечение обязательств Принципала по использованию приобретаемых/ полученных федеральных специальных марок в соответствии с условиями законодательных актов.</w:t>
            </w:r>
          </w:p>
          <w:p w:rsidR="00757AF7" w:rsidRPr="00514EB3" w:rsidRDefault="00757AF7" w:rsidP="00E529D8">
            <w:pPr>
              <w:keepNext/>
              <w:tabs>
                <w:tab w:val="left" w:pos="35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2. Обеспечение исполнения обязательств Принципала по уплате суммы акциза по реализованной алкогольной и/ или подакцизной спиртосодержащей продукции в соответствии с условиями законодательных актов.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Период выдачи гарантий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0"/>
                <w:tab w:val="left" w:pos="317"/>
                <w:tab w:val="center" w:pos="5103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20.10.2021 г. (включительно)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Срок гарантий в рамках Генерального соглашения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365 дней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Вознаграждения/ комиссии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вознаграждения/ комиссии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 выдачу гарантии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Размер, порядок расчета и уплаты вознаграждения/ комиссии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 xml:space="preserve">Не более 0,9% от суммы гарантии за период 3 месяца. </w:t>
            </w:r>
          </w:p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 заявках/решениях о выдаче гарантии в рамках Генеральных соглашений указывается конкретная ставка вознаграждения.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Минимальное значение вознаграждения – 16 500,00 рублей за трехмесячный </w:t>
            </w:r>
            <w:proofErr w:type="gramStart"/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период  </w:t>
            </w:r>
            <w:r w:rsidRPr="00514EB3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(</w:t>
            </w:r>
            <w:proofErr w:type="gramEnd"/>
            <w:r w:rsidRPr="00514EB3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начиная с даты выдачи гарантии по дату прекращения гарантии)</w:t>
            </w: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Вознаграждение за выдачу гарантии рассчитывается за расчетное количество календарных дней действия гарантии в соответствующем трехмесячном периоде.</w:t>
            </w:r>
          </w:p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 xml:space="preserve">Вознаграждение начисляется в последний рабочий день каждого календарного месяца, а в месяце окончания очередного трехмесячного периода/прекращения гарантии – в дату окончания соответствующего трехмесячного комиссионного периода/дату прекращения гарантии. </w:t>
            </w:r>
          </w:p>
          <w:p w:rsidR="00757AF7" w:rsidRPr="00514EB3" w:rsidRDefault="00757AF7" w:rsidP="00E529D8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14EB3">
              <w:rPr>
                <w:rFonts w:ascii="Times New Roman" w:hAnsi="Times New Roman"/>
                <w:sz w:val="18"/>
                <w:szCs w:val="18"/>
              </w:rPr>
              <w:t>Вознаграждение подлежит уплате в течение 5 (Пяти) рабочих дней с даты окончания соответствующего трехмесячного периода/прекращения действия гарантии.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вознаграждения/ комиссии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 изменение условий гарантии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16 500,00 рублей за каждое изменение</w:t>
            </w:r>
          </w:p>
          <w:p w:rsidR="00757AF7" w:rsidRPr="00514EB3" w:rsidRDefault="00757AF7" w:rsidP="00E529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Уплачивается в срок не позднее 3-х рабочих дней с даты изменения условий гарантии.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  <w:t>Санкции по Принципалу</w:t>
            </w:r>
          </w:p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Вид санкции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за несвоевременное возмещение Принципалом Банку суммы осуществленного Банком платежа по гарантии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Порядок взимания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4,5-кратная величина ключевой ставки Банка России на дату возникновения задолженности по возмещению платежа, но не менее 27% годовых.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 w:val="restart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i/>
                <w:sz w:val="18"/>
                <w:szCs w:val="18"/>
                <w:lang w:eastAsia="en-US"/>
              </w:rPr>
              <w:t>Санкции по Поручителю</w:t>
            </w:r>
          </w:p>
        </w:tc>
        <w:tc>
          <w:tcPr>
            <w:tcW w:w="7229" w:type="dxa"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Вид санкции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/>
                <w:sz w:val="18"/>
                <w:szCs w:val="18"/>
                <w:lang w:eastAsia="en-US"/>
              </w:rPr>
              <w:t>За неисполнение или ненадлежащее исполнение Поручителем денежных обязательств по договору поручительства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b/>
                <w:sz w:val="18"/>
                <w:szCs w:val="18"/>
                <w:lang w:eastAsia="en-US"/>
              </w:rPr>
              <w:t>Порядок взимания</w:t>
            </w:r>
          </w:p>
        </w:tc>
      </w:tr>
      <w:tr w:rsidR="00757AF7" w:rsidRPr="00514EB3" w:rsidTr="00E529D8">
        <w:trPr>
          <w:trHeight w:val="20"/>
        </w:trPr>
        <w:tc>
          <w:tcPr>
            <w:tcW w:w="2429" w:type="dxa"/>
            <w:vMerge/>
            <w:shd w:val="clear" w:color="auto" w:fill="FFFFFF"/>
            <w:noWrap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</w:tcPr>
          <w:p w:rsidR="00757AF7" w:rsidRPr="00514EB3" w:rsidRDefault="00757AF7" w:rsidP="00E529D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514EB3">
              <w:rPr>
                <w:rFonts w:ascii="Times New Roman" w:hAnsi="Times New Roman" w:cs="Arial"/>
                <w:sz w:val="18"/>
                <w:szCs w:val="18"/>
                <w:lang w:eastAsia="en-US"/>
              </w:rPr>
              <w:t xml:space="preserve">4,5-кратная величина ключевой ставки Банка России на дату неисполнения или ненадлежащего исполнения Поручителем денежных обязательств по договору поручительства, но не </w:t>
            </w:r>
            <w:r w:rsidRPr="000672AC">
              <w:rPr>
                <w:rFonts w:ascii="Times New Roman" w:hAnsi="Times New Roman" w:cs="Arial"/>
                <w:sz w:val="18"/>
                <w:szCs w:val="18"/>
                <w:lang w:eastAsia="en-US"/>
              </w:rPr>
              <w:t>менее 27% годовых. Поручительство прекращается через три года с даты окончания срока действия лимита по выдаче гарантий, либо с прекращением обеспеченных им обязательств</w:t>
            </w:r>
            <w:r w:rsidRPr="000672AC">
              <w:rPr>
                <w:rFonts w:ascii="Times New Roman" w:hAnsi="Times New Roman" w:cs="Arial"/>
                <w:i/>
                <w:sz w:val="18"/>
                <w:szCs w:val="18"/>
                <w:lang w:eastAsia="en-US"/>
              </w:rPr>
              <w:t xml:space="preserve">. </w:t>
            </w:r>
            <w:r w:rsidRPr="000672AC">
              <w:rPr>
                <w:rFonts w:ascii="Times New Roman" w:hAnsi="Times New Roman" w:cs="Arial"/>
                <w:sz w:val="18"/>
                <w:szCs w:val="18"/>
                <w:lang w:eastAsia="en-US"/>
              </w:rPr>
              <w:t>Поручительство является солидарным на полную сумму обязательств Принципала</w:t>
            </w:r>
          </w:p>
        </w:tc>
      </w:tr>
    </w:tbl>
    <w:p w:rsidR="00757AF7" w:rsidRPr="00493FD2" w:rsidRDefault="00757AF7" w:rsidP="00842C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493FD2">
        <w:rPr>
          <w:rFonts w:ascii="Times New Roman" w:hAnsi="Times New Roman"/>
          <w:sz w:val="23"/>
          <w:szCs w:val="23"/>
        </w:rPr>
        <w:t>Сделка поручительства является для Общества крупной сделкой, сумма которой определена от балансовой стоимости активов Общества, определенной по данным бухгалтерской отчетности на последнюю отчетную дату, предшествующую дате совершения сделки.</w:t>
      </w:r>
    </w:p>
    <w:p w:rsidR="00757AF7" w:rsidRPr="00493FD2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3"/>
          <w:szCs w:val="23"/>
        </w:rPr>
      </w:pPr>
      <w:r w:rsidRPr="00493FD2">
        <w:rPr>
          <w:rFonts w:ascii="Times New Roman" w:hAnsi="Times New Roman"/>
          <w:spacing w:val="-3"/>
          <w:sz w:val="23"/>
          <w:szCs w:val="23"/>
        </w:rPr>
        <w:t>В сделке поручительства в обеспечение исполнения обязательств АО «</w:t>
      </w:r>
      <w:proofErr w:type="spellStart"/>
      <w:r w:rsidRPr="00493FD2">
        <w:rPr>
          <w:rFonts w:ascii="Times New Roman" w:hAnsi="Times New Roman"/>
          <w:spacing w:val="-3"/>
          <w:sz w:val="23"/>
          <w:szCs w:val="23"/>
        </w:rPr>
        <w:t>Новопесчанское</w:t>
      </w:r>
      <w:proofErr w:type="spellEnd"/>
      <w:r w:rsidRPr="00493FD2">
        <w:rPr>
          <w:rFonts w:ascii="Times New Roman" w:hAnsi="Times New Roman"/>
          <w:spacing w:val="-3"/>
          <w:sz w:val="23"/>
          <w:szCs w:val="23"/>
        </w:rPr>
        <w:t>» имеется заинтересованность:</w:t>
      </w:r>
    </w:p>
    <w:p w:rsidR="00757AF7" w:rsidRPr="00493FD2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3"/>
          <w:szCs w:val="23"/>
        </w:rPr>
      </w:pPr>
      <w:r w:rsidRPr="00493FD2">
        <w:rPr>
          <w:rFonts w:ascii="Times New Roman" w:hAnsi="Times New Roman"/>
          <w:spacing w:val="-3"/>
          <w:sz w:val="23"/>
          <w:szCs w:val="23"/>
        </w:rPr>
        <w:t xml:space="preserve">- Тишкова Е.К., Кудряшовой И.А., Крижановской Е.А., Маныловой С.А. и </w:t>
      </w:r>
      <w:proofErr w:type="spellStart"/>
      <w:r w:rsidRPr="00493FD2">
        <w:rPr>
          <w:rFonts w:ascii="Times New Roman" w:hAnsi="Times New Roman"/>
          <w:spacing w:val="-3"/>
          <w:sz w:val="23"/>
          <w:szCs w:val="23"/>
        </w:rPr>
        <w:t>Швыркаевой</w:t>
      </w:r>
      <w:proofErr w:type="spellEnd"/>
      <w:r w:rsidRPr="00493FD2">
        <w:rPr>
          <w:rFonts w:ascii="Times New Roman" w:hAnsi="Times New Roman"/>
          <w:spacing w:val="-3"/>
          <w:sz w:val="23"/>
          <w:szCs w:val="23"/>
        </w:rPr>
        <w:t xml:space="preserve"> И.В. – членов Наблюдательного </w:t>
      </w:r>
      <w:proofErr w:type="spellStart"/>
      <w:r w:rsidRPr="00493FD2">
        <w:rPr>
          <w:rFonts w:ascii="Times New Roman" w:hAnsi="Times New Roman"/>
          <w:spacing w:val="-3"/>
          <w:sz w:val="23"/>
          <w:szCs w:val="23"/>
        </w:rPr>
        <w:t>советаПоручителя</w:t>
      </w:r>
      <w:proofErr w:type="spellEnd"/>
      <w:r w:rsidRPr="00493FD2">
        <w:rPr>
          <w:rFonts w:ascii="Times New Roman" w:hAnsi="Times New Roman"/>
          <w:spacing w:val="-3"/>
          <w:sz w:val="23"/>
          <w:szCs w:val="23"/>
        </w:rPr>
        <w:t>, одновременно являющихся членами Совета директоров Принципала;</w:t>
      </w:r>
    </w:p>
    <w:p w:rsidR="00757AF7" w:rsidRPr="00493FD2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3"/>
          <w:szCs w:val="23"/>
        </w:rPr>
      </w:pPr>
      <w:r w:rsidRPr="00493FD2">
        <w:rPr>
          <w:rFonts w:ascii="Times New Roman" w:hAnsi="Times New Roman"/>
          <w:spacing w:val="-3"/>
          <w:sz w:val="23"/>
          <w:szCs w:val="23"/>
        </w:rPr>
        <w:t>- Савельева Д.В., одновременно осуществляющего косвенный контроль над Поручителем и Принципалом через ООО Торговый центр «</w:t>
      </w:r>
      <w:proofErr w:type="spellStart"/>
      <w:r w:rsidRPr="00493FD2">
        <w:rPr>
          <w:rFonts w:ascii="Times New Roman" w:hAnsi="Times New Roman"/>
          <w:spacing w:val="-3"/>
          <w:sz w:val="23"/>
          <w:szCs w:val="23"/>
        </w:rPr>
        <w:t>Бусиново</w:t>
      </w:r>
      <w:proofErr w:type="spellEnd"/>
      <w:r w:rsidRPr="00493FD2">
        <w:rPr>
          <w:rFonts w:ascii="Times New Roman" w:hAnsi="Times New Roman"/>
          <w:spacing w:val="-3"/>
          <w:sz w:val="23"/>
          <w:szCs w:val="23"/>
        </w:rPr>
        <w:t>», ООО «Терра» и ООО «ФОРА» и ООО «Инвестиционная компания «Нижний»;</w:t>
      </w:r>
    </w:p>
    <w:p w:rsidR="00757AF7" w:rsidRPr="00493FD2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3"/>
          <w:szCs w:val="23"/>
        </w:rPr>
      </w:pPr>
      <w:r w:rsidRPr="00493FD2">
        <w:rPr>
          <w:rFonts w:ascii="Times New Roman" w:hAnsi="Times New Roman"/>
          <w:spacing w:val="-3"/>
          <w:sz w:val="23"/>
          <w:szCs w:val="23"/>
        </w:rPr>
        <w:t>- ООО Торговый центр «</w:t>
      </w:r>
      <w:proofErr w:type="spellStart"/>
      <w:r w:rsidRPr="00493FD2">
        <w:rPr>
          <w:rFonts w:ascii="Times New Roman" w:hAnsi="Times New Roman"/>
          <w:spacing w:val="-3"/>
          <w:sz w:val="23"/>
          <w:szCs w:val="23"/>
        </w:rPr>
        <w:t>Бусиново</w:t>
      </w:r>
      <w:proofErr w:type="spellEnd"/>
      <w:r w:rsidRPr="00493FD2">
        <w:rPr>
          <w:rFonts w:ascii="Times New Roman" w:hAnsi="Times New Roman"/>
          <w:spacing w:val="-3"/>
          <w:sz w:val="23"/>
          <w:szCs w:val="23"/>
        </w:rPr>
        <w:t>», одновременно осуществляющее косвенный контроль над Поручителем и Принципалом через ООО «Терра», ООО «ФОРА» и ООО «Инвестиционная компания «Нижний»;</w:t>
      </w:r>
    </w:p>
    <w:p w:rsidR="00757AF7" w:rsidRPr="00493FD2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3"/>
          <w:szCs w:val="23"/>
        </w:rPr>
      </w:pPr>
      <w:r w:rsidRPr="00493FD2">
        <w:rPr>
          <w:rFonts w:ascii="Times New Roman" w:hAnsi="Times New Roman"/>
          <w:spacing w:val="-3"/>
          <w:sz w:val="23"/>
          <w:szCs w:val="23"/>
        </w:rPr>
        <w:t>- ООО «Терра», одновременно осуществляющее косвенный контроль над Поручителем и Принципалом через ООО «ФОРА» и ООО «Инвестиционная компания «Нижний»;</w:t>
      </w:r>
    </w:p>
    <w:p w:rsidR="00757AF7" w:rsidRPr="00493FD2" w:rsidRDefault="00757AF7" w:rsidP="00842C99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3"/>
          <w:sz w:val="23"/>
          <w:szCs w:val="23"/>
        </w:rPr>
      </w:pPr>
      <w:r w:rsidRPr="00493FD2">
        <w:rPr>
          <w:rFonts w:ascii="Times New Roman" w:hAnsi="Times New Roman"/>
          <w:spacing w:val="-3"/>
          <w:sz w:val="23"/>
          <w:szCs w:val="23"/>
        </w:rPr>
        <w:t>- ООО «ФОРА», одновременно осуществляющее косвенный контроль над Поручителем и Принципалом через ООО «Инвестиционная компания «Нижний»;</w:t>
      </w:r>
    </w:p>
    <w:p w:rsidR="00757AF7" w:rsidRPr="00493FD2" w:rsidRDefault="00757AF7" w:rsidP="00842C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80808"/>
          <w:sz w:val="23"/>
          <w:szCs w:val="23"/>
        </w:rPr>
      </w:pPr>
      <w:r w:rsidRPr="00493FD2">
        <w:rPr>
          <w:rFonts w:ascii="Times New Roman" w:hAnsi="Times New Roman"/>
          <w:spacing w:val="-3"/>
          <w:sz w:val="23"/>
          <w:szCs w:val="23"/>
        </w:rPr>
        <w:t>- ООО «Инвестиционная компания «Нижний» одновременно осуществляющее прямой контроль над Поручителем и Принципалом.</w:t>
      </w: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757AF7" w:rsidRDefault="0075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bookmarkStart w:id="0" w:name="_GoBack"/>
      <w:bookmarkEnd w:id="0"/>
    </w:p>
    <w:sectPr w:rsidR="00757AF7" w:rsidSect="00D23433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F7" w:rsidRDefault="00757AF7">
      <w:pPr>
        <w:spacing w:after="0" w:line="240" w:lineRule="auto"/>
      </w:pPr>
      <w:r>
        <w:separator/>
      </w:r>
    </w:p>
  </w:endnote>
  <w:endnote w:type="continuationSeparator" w:id="0">
    <w:p w:rsidR="00757AF7" w:rsidRDefault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F7" w:rsidRDefault="00757AF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F7" w:rsidRDefault="00757AF7">
      <w:pPr>
        <w:spacing w:after="0" w:line="240" w:lineRule="auto"/>
      </w:pPr>
      <w:r>
        <w:separator/>
      </w:r>
    </w:p>
  </w:footnote>
  <w:footnote w:type="continuationSeparator" w:id="0">
    <w:p w:rsidR="00757AF7" w:rsidRDefault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6ADABA1E"/>
    <w:lvl w:ilvl="0" w:tplc="FFFFFFFF">
      <w:start w:val="1"/>
      <w:numFmt w:val="decimal"/>
      <w:lvlText w:val="%1."/>
      <w:lvlJc w:val="left"/>
      <w:pPr>
        <w:ind w:left="2061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2EF82D2C"/>
    <w:multiLevelType w:val="hybridMultilevel"/>
    <w:tmpl w:val="6D50FBF8"/>
    <w:lvl w:ilvl="0" w:tplc="15EEBDC4">
      <w:start w:val="1"/>
      <w:numFmt w:val="bullet"/>
      <w:lvlText w:val=""/>
      <w:lvlJc w:val="left"/>
      <w:pPr>
        <w:ind w:left="3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76D"/>
    <w:rsid w:val="00047C8F"/>
    <w:rsid w:val="000672AC"/>
    <w:rsid w:val="0018566A"/>
    <w:rsid w:val="002669DE"/>
    <w:rsid w:val="0032776D"/>
    <w:rsid w:val="00493FD2"/>
    <w:rsid w:val="004A1549"/>
    <w:rsid w:val="00514EB3"/>
    <w:rsid w:val="006F0306"/>
    <w:rsid w:val="00757AF7"/>
    <w:rsid w:val="00821D5F"/>
    <w:rsid w:val="00842C99"/>
    <w:rsid w:val="00901FE3"/>
    <w:rsid w:val="00A41C38"/>
    <w:rsid w:val="00B03BEF"/>
    <w:rsid w:val="00BE4464"/>
    <w:rsid w:val="00BF53A8"/>
    <w:rsid w:val="00C87047"/>
    <w:rsid w:val="00D23433"/>
    <w:rsid w:val="00D839AC"/>
    <w:rsid w:val="00D84177"/>
    <w:rsid w:val="00D8693B"/>
    <w:rsid w:val="00E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3B6E8-9141-4575-BC3D-6D2CBCC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VPetelin</dc:creator>
  <cp:keywords/>
  <dc:description/>
  <cp:lastModifiedBy>Александр Одушев</cp:lastModifiedBy>
  <cp:revision>2</cp:revision>
  <dcterms:created xsi:type="dcterms:W3CDTF">2021-01-21T09:35:00Z</dcterms:created>
  <dcterms:modified xsi:type="dcterms:W3CDTF">2021-01-21T09:35:00Z</dcterms:modified>
</cp:coreProperties>
</file>